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451F7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center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b/>
          <w:bCs/>
          <w:color w:val="D92828"/>
          <w:sz w:val="36"/>
          <w:szCs w:val="36"/>
          <w:lang w:eastAsia="hu-HU"/>
        </w:rPr>
        <w:t>71/2020. (III. 27.) Korm. rendelet</w:t>
      </w:r>
    </w:p>
    <w:p w14:paraId="2AA952AA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center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0" w:name="chp1"/>
      <w:bookmarkEnd w:id="0"/>
      <w:r w:rsidRPr="001E6BB7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a kijárási korlátozásról</w:t>
      </w:r>
    </w:p>
    <w:p w14:paraId="3CD506B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Kormány</w:t>
      </w:r>
    </w:p>
    <w:p w14:paraId="53708FB3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 </w:t>
      </w:r>
      <w:hyperlink r:id="rId4" w:tgtFrame="_blank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Alaptörvény 53. cikk (2) bekezdésében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meghatározott eredeti jogalkotói hatáskörében,</w:t>
      </w:r>
    </w:p>
    <w:p w14:paraId="2045965A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 </w:t>
      </w:r>
      <w:hyperlink r:id="rId5" w:tgtFrame="_blank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Alaptörvény 15. cikk (1) bekezdésében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meghatározott feladatkörében eljárva a következőket rendeli el:</w:t>
      </w:r>
    </w:p>
    <w:p w14:paraId="28A5C9B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1" w:name="para1"/>
      <w:bookmarkEnd w:id="1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1.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(1) Mindenki köteles más emberekkel a szociális érintkezést - a közös háztartásban élők kivételével - a lehető legkisebb mértékűre korlátozni, és a másik embertől lehetőség szerint legalább 1,5 méter távolságot tartani.</w:t>
      </w:r>
    </w:p>
    <w:p w14:paraId="7B397010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(2) Az (1) bekezdést a tömegközlekedés során is alkalmazni kell.</w:t>
      </w:r>
    </w:p>
    <w:p w14:paraId="658D012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2" w:name="para2"/>
      <w:bookmarkEnd w:id="2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2.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Vendéglátó üzletben - az ott foglalkoztatottak kivételével - tartózkodni tilos. Kivételt képez az elvitelre alkalmas ételek kiadása és szállítása.</w:t>
      </w:r>
    </w:p>
    <w:p w14:paraId="6D734D26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3" w:name="para3"/>
      <w:bookmarkEnd w:id="3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3.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lakóhely, a tartózkodási hely, illetve a magánlakás elhagyására az e rendeletben meghatározott alapos indokkal kerülhet sor.</w:t>
      </w:r>
    </w:p>
    <w:p w14:paraId="7B63AC47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4" w:name="para4"/>
      <w:bookmarkEnd w:id="4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4.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(1) A 3. § szerinti alapos indok:</w:t>
      </w:r>
    </w:p>
    <w:p w14:paraId="39D51B33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a)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 xml:space="preserve">a munkavégzés, a 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hivatásbeli</w:t>
      </w:r>
      <w:proofErr w:type="spellEnd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 xml:space="preserve"> kötelezettség, a gazdasági, mezőgazdasági és erdészeti tevékenység, valamint az ezek elvégzéséhez nélkülözhetetlen anyagokat, valamint eszközöket árusító üzletben (különösen a műszaki cikket, az építőanyagot és eszközöket árusító üzletben) történő vásárlás,</w:t>
      </w:r>
    </w:p>
    <w:p w14:paraId="3F8153A9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b)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napközbeni kiscsoportos felügyelet okán a kiskorú gyermek kísérése,</w:t>
      </w:r>
    </w:p>
    <w:p w14:paraId="5F7355F5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c)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egészségügyi ellátás és szolgáltatás igénybevétele, beleértve a gyógyító tevékenységen túl a testi és a lelki egészség megőrzése céljából nyújtott egészségügyi szolgáltatásokat (különösen pszichoterápiás ellátás, fizioterápiás kezelés, gyógytorna),</w:t>
      </w:r>
    </w:p>
    <w:p w14:paraId="66B5707E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d)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egyéni szabadidős sporttevékenység, szabadidős célú gyalogos közlekedés az 5. § szerint,</w:t>
      </w:r>
    </w:p>
    <w:p w14:paraId="59A97F78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e)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házasságkötés és a temetés szűk családi körben,</w:t>
      </w:r>
    </w:p>
    <w:p w14:paraId="568BF56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f)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napi fogyasztási cikket értékesítő élelmiszerüzletben (a továbbiakban: élelmiszerüzlet) történő vásárlás,</w:t>
      </w:r>
    </w:p>
    <w:p w14:paraId="5253912B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g)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napi fogyasztási cikket értékesítő egyéb (illatszert, a drogériai terméket, a háztartási tisztítószert, a vegyi árut és a higiéniai papírterméket árusító) üzletben (a továbbiakban együtt: drogéria) történő vásárlás,</w:t>
      </w:r>
    </w:p>
    <w:p w14:paraId="6AF50366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h)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állateledelt, takarmányt forgalmazó üzletben történő vásárlás,</w:t>
      </w:r>
    </w:p>
    <w:p w14:paraId="549045A8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i)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mezőgazdasági üzletben történő vásárlás, ideértve műtrágyát értékesítő üzletet és vágóhidat,</w:t>
      </w:r>
    </w:p>
    <w:p w14:paraId="3DCD238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j)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piacon, a helyi termelői piacon (a továbbiakban együtt: piac) történő vásárlás,</w:t>
      </w:r>
    </w:p>
    <w:p w14:paraId="01DA0383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k)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gyógyszert, a gyógyászati segédeszközt forgalmazó üzletben (a továbbiakban együtt: gyógyszertár) történő vásárlás,</w:t>
      </w:r>
    </w:p>
    <w:p w14:paraId="23C574E9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l)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üzemanyag-töltőállomás felkeresése,</w:t>
      </w:r>
    </w:p>
    <w:p w14:paraId="6922CA96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m)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dohányboltban történő vásárlás,</w:t>
      </w:r>
    </w:p>
    <w:p w14:paraId="76C2D952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n)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fodrász, a manikűrös szolgáltatások igénybevétele,</w:t>
      </w:r>
    </w:p>
    <w:p w14:paraId="2C181028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o)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szállítási, tisztítási és higiéniás szolgáltatások igénybevétele,</w:t>
      </w:r>
    </w:p>
    <w:p w14:paraId="3230A1A1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lastRenderedPageBreak/>
        <w:t>p)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gépjármű- és kerékpárszerviz, a mezőgazdasági és erdészeti gépek és berendezések javításával kapcsolatos szolgáltatások igénybevétele,</w:t>
      </w:r>
    </w:p>
    <w:p w14:paraId="0EB561D4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q)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hulladékgazdálkodással összefüggő szolgáltatások igénybevétele,</w:t>
      </w:r>
    </w:p>
    <w:p w14:paraId="5F76A84D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r)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legszükségesebb esetben a személyes megjelenést igénylő ügyintézés, így hatósági, banki, pénzügyi, biztosítási és postai szolgáltatások igénybevétele,</w:t>
      </w:r>
    </w:p>
    <w:p w14:paraId="66238B34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s)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állatok ellátása, háziállat közterületi sétáltatása, az állatorvosi rendelő és az állatkórház látogatása,</w:t>
      </w:r>
    </w:p>
    <w:p w14:paraId="7CA0460B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t)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szülői jogok és kötelezettségek,</w:t>
      </w:r>
    </w:p>
    <w:p w14:paraId="2BAC1360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i/>
          <w:iCs/>
          <w:color w:val="000000"/>
          <w:sz w:val="21"/>
          <w:szCs w:val="21"/>
          <w:lang w:eastAsia="hu-HU"/>
        </w:rPr>
        <w:t>u)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 hitéleti tevékenység.</w:t>
      </w:r>
    </w:p>
    <w:p w14:paraId="03701BA0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(2) Alapos indok továbbá - az 1. §-ban meghatározottak betartásával - a magáról gondoskodni nem tudó, vagy segítéségre szoruló személy (például kiskorú személy, idős személy és beteg személy) részére történő segítségnyújtás.</w:t>
      </w:r>
    </w:p>
    <w:p w14:paraId="7EE0831E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5" w:name="para5"/>
      <w:bookmarkEnd w:id="5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5.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Egyéni szabadidős sporttevékenység, szabadidős célú gyalogos közlekedés külterületen, valamint a települések belterületén - lehetőség szerint a zöldterületeken - egyedül vagy ugyanazon háztartásban élőkkel közösen folytatható azzal, hogy másoktól legalább 1,5 méter távolságot kell tartani.</w:t>
      </w:r>
    </w:p>
    <w:p w14:paraId="0613065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6" w:name="para6"/>
      <w:bookmarkEnd w:id="6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6.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 xml:space="preserve">(1) Saját és családja érdekében a 65. életévét betöltött személy az élelmiszerüzletet, drogériát, piacot vagy 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gyógyszertárat</w:t>
      </w:r>
      <w:proofErr w:type="spellEnd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 xml:space="preserve"> 9.00 óra és 12.00 óra közötti időben látogathatja.</w:t>
      </w:r>
    </w:p>
    <w:p w14:paraId="22E8105A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(2) Az élelmiszerüzletben, drogériában, piacon vagy gyógyszertárban 9.00 óra és 12.00 óra közötti időben az ott foglalkoztatottak kivételével kizárólag az (1) bekezdés szerinti személy tartózkodhat.</w:t>
      </w:r>
    </w:p>
    <w:p w14:paraId="3BC81C1F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7" w:name="para7"/>
      <w:bookmarkEnd w:id="7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7.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1. § (1) bekezdésében meghatározott korlátozás, valamint a 2. §-ban és a 6. § (2) bekezdésében meghatározott előírás érvényesítése a helyiség üzemeltetőjének a felelőssége.</w:t>
      </w:r>
    </w:p>
    <w:p w14:paraId="06EB996C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8" w:name="para8"/>
      <w:bookmarkEnd w:id="8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8.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(1) E rendelet szerinti korlátozó intézkedések betartását a rendőrség ellenőrzi, a katonai rendészet és </w:t>
      </w:r>
      <w:hyperlink r:id="rId6" w:anchor="sid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a rendvédelmi feladatokat ellátó szervek hivatásos állományának szolgálati jogviszonyáról szóló törvény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szerinti bármely szerv bevonásával.</w:t>
      </w:r>
    </w:p>
    <w:p w14:paraId="176974A4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 xml:space="preserve">(2) E rendelet szerinti 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korlátózó</w:t>
      </w:r>
      <w:proofErr w:type="spellEnd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 xml:space="preserve"> intézkedések be nem tartása esetén a rendőr a Rendőrségről szóló </w:t>
      </w:r>
      <w:hyperlink r:id="rId7" w:anchor="sid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1994. évi XXXIV. törvény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(a továbbiakban: 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begin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instrText xml:space="preserve"> HYPERLINK "https://optijus.hu/optijus/lawtext/99400034.TV" \l "sid" </w:instrTex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separate"/>
      </w:r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Rtv</w:t>
      </w:r>
      <w:proofErr w:type="spellEnd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.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end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) szerinti intézkedéseket és kényszerítő eszközöket a szükségesség és arányosság követelménye betartásával az 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begin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instrText xml:space="preserve"> HYPERLINK "https://optijus.hu/optijus/lawtext/99400034.TV" \l "sid" </w:instrTex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separate"/>
      </w:r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Rtv</w:t>
      </w:r>
      <w:proofErr w:type="spellEnd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.-ben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end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meghatározott módon alkalmazhatja.</w:t>
      </w:r>
    </w:p>
    <w:p w14:paraId="43AC7817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9" w:name="para9"/>
      <w:bookmarkEnd w:id="9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9.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(1) A szabálysértésekről, a szabálysértési eljárásról és a szabálysértési nyilvántartási rendszerről szóló </w:t>
      </w:r>
      <w:hyperlink r:id="rId8" w:tgtFrame="_blank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2012. évi II. törvény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(a továbbiakban: 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begin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instrText xml:space="preserve"> HYPERLINK "https://optijus.hu/optijus/lawtext/A1200002.TV" \l "sid" </w:instrTex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separate"/>
      </w:r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Szabstv</w:t>
      </w:r>
      <w:proofErr w:type="spellEnd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.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end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) </w:t>
      </w:r>
      <w:hyperlink r:id="rId9" w:anchor="sidlawrefP(1)B(1)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1. § (1) bekezdésétől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eltérően szabálysértést követ el, aki az e rendeletben meghatározott korlátozó intézkedést megszegi.</w:t>
      </w:r>
    </w:p>
    <w:p w14:paraId="4A87F341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(2) A </w:t>
      </w:r>
      <w:proofErr w:type="spellStart"/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begin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instrText xml:space="preserve"> HYPERLINK "https://optijus.hu/optijus/lawtext/A1200002.TV" \l "sidlawrefP(11)B(1)" </w:instrTex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separate"/>
      </w:r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Szabstv</w:t>
      </w:r>
      <w:proofErr w:type="spellEnd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hu-HU"/>
        </w:rPr>
        <w:t>. 11. § (1) bekezdésétől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fldChar w:fldCharType="end"/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eltérően az (1) bekezdés szerinti szabálysértés esetén a pénzbírság legalacsonyabb összege ötezer forint, legmagasabb összege ötszázezer forint.</w:t>
      </w:r>
    </w:p>
    <w:p w14:paraId="5C8BE9D7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10" w:name="para10"/>
      <w:bookmarkEnd w:id="10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10.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(1) Ez a rendelet 2020. március 28. napján lép hatályba.</w:t>
      </w:r>
    </w:p>
    <w:p w14:paraId="7E96C627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(2) Ez a rendelet 2020. április 11-én hatályát veszti.</w:t>
      </w:r>
    </w:p>
    <w:p w14:paraId="793CB954" w14:textId="77777777" w:rsidR="001E6BB7" w:rsidRPr="001E6BB7" w:rsidRDefault="001E6BB7" w:rsidP="001E6BB7">
      <w:pPr>
        <w:shd w:val="clear" w:color="auto" w:fill="FFFFFF"/>
        <w:spacing w:after="45" w:line="310" w:lineRule="atLeast"/>
        <w:ind w:firstLine="240"/>
        <w:jc w:val="both"/>
        <w:rPr>
          <w:rFonts w:ascii="Arial" w:eastAsia="Times New Roman" w:hAnsi="Arial" w:cs="Arial"/>
          <w:color w:val="000000"/>
          <w:sz w:val="21"/>
          <w:szCs w:val="21"/>
          <w:lang w:eastAsia="hu-HU"/>
        </w:rPr>
      </w:pPr>
      <w:bookmarkStart w:id="11" w:name="para11"/>
      <w:bookmarkEnd w:id="11"/>
      <w:r w:rsidRPr="001E6BB7">
        <w:rPr>
          <w:rFonts w:ascii="Arial" w:eastAsia="Times New Roman" w:hAnsi="Arial" w:cs="Arial"/>
          <w:b/>
          <w:bCs/>
          <w:color w:val="000000"/>
          <w:sz w:val="21"/>
          <w:szCs w:val="21"/>
          <w:lang w:eastAsia="hu-HU"/>
        </w:rPr>
        <w:t>11. § </w:t>
      </w:r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Az élet- és vagyonbiztonságot veszélyeztető tömeges megbetegedést okozó humánjárvány megelőzése, illetve következményeinek elhárítása, a magyar állampolgárok egészségének és életének megóvása érdekében elrendelt veszélyhelyzet során teendő intézkedésekről (III.) szóló </w:t>
      </w:r>
      <w:hyperlink r:id="rId10" w:anchor="sidlawrefP(1)" w:history="1">
        <w:r w:rsidRPr="001E6BB7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lang w:eastAsia="hu-HU"/>
          </w:rPr>
          <w:t>46/2020. (III. 16.) Korm. rendelet 1. §-a</w:t>
        </w:r>
      </w:hyperlink>
      <w:r w:rsidRPr="001E6BB7">
        <w:rPr>
          <w:rFonts w:ascii="Arial" w:eastAsia="Times New Roman" w:hAnsi="Arial" w:cs="Arial"/>
          <w:color w:val="000000"/>
          <w:sz w:val="21"/>
          <w:szCs w:val="21"/>
          <w:lang w:eastAsia="hu-HU"/>
        </w:rPr>
        <w:t> nem alkalmazható.</w:t>
      </w:r>
    </w:p>
    <w:p w14:paraId="37A301AC" w14:textId="77777777" w:rsidR="001E6BB7" w:rsidRDefault="001E6BB7">
      <w:bookmarkStart w:id="12" w:name="_GoBack"/>
      <w:bookmarkEnd w:id="12"/>
    </w:p>
    <w:sectPr w:rsidR="001E6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B7"/>
    <w:rsid w:val="001E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9477"/>
  <w15:chartTrackingRefBased/>
  <w15:docId w15:val="{8E1B846F-E4EE-4768-AF31-AAF2FBCA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48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71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433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64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47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96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235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418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5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604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880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69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923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074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605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101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147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977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476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914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79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752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4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73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26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706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14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265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17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485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311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318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566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65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617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358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837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602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655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17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022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59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979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A1200002.TV/tvalid/1920.1.1./ts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ptijus.hu/optijus/lawtext/99400034.T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tijus.hu/optijus/lawtext/A1500042.TV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ptijus.hu/optijus/lawtext/A1100425.ATV/tvalid/1920.1.1./tsid/lawrefk(15)B(1)" TargetMode="External"/><Relationship Id="rId10" Type="http://schemas.openxmlformats.org/officeDocument/2006/relationships/hyperlink" Target="https://optijus.hu/optijus/lawtext/A2000046.KOR" TargetMode="External"/><Relationship Id="rId4" Type="http://schemas.openxmlformats.org/officeDocument/2006/relationships/hyperlink" Target="https://optijus.hu/optijus/lawtext/A1100425.ATV/tvalid/1920.1.1./tsid/lawrefk(53)B(2)" TargetMode="External"/><Relationship Id="rId9" Type="http://schemas.openxmlformats.org/officeDocument/2006/relationships/hyperlink" Target="https://optijus.hu/optijus/lawtext/A1200002.TV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833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2020-03-27T10:52:00Z</dcterms:created>
  <dcterms:modified xsi:type="dcterms:W3CDTF">2020-03-27T10:54:00Z</dcterms:modified>
</cp:coreProperties>
</file>